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  <w:bookmarkStart w:id="0" w:name="_GoBack"/>
      <w:bookmarkEnd w:id="0"/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501"/>
        <w:gridCol w:w="3165"/>
        <w:gridCol w:w="1665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W1600525-000356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大禹渡灌区工程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运城市大禹渡扬水工程服务中心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55E4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64D1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F13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W1600525-000346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F2A2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新疆宜化矿业有限责任公司五彩湾一号露天煤矿（3000万吨/年）项目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E048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8CEF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2025.04.07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BBF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05A1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82FD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C844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W1600525-000321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719A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河口镇农村安全饮水工程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B2F1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兰州市西固区河口镇人民政府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BEBE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672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362C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8A42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B16B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W1600525-000235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005C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青海直岗拉卡水电站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49D1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青海大唐国际直岗拉卡水电开发有限公司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9CE2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D6E7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1722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3D76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E828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W1600525-000193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30018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黄河玛尔挡水电站鱼类增值放流站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0BA1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国家能源集团青海电力有限公司玛尔挡分公司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F109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2025.04.11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4C33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571A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986E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3A97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W1600525-000144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7A34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兰州市西固区陈坪街道新滩社区二支路泵房项目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479E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兰州市西固区陈坪街道新滩社区居民委员会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1681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B849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08E8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DF16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E3CE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W1600525-000001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9B10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新汶矿业集团（伊犁）能源开发有限责任公司伊犁一号煤矿项目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76AF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新汶矿业集团（伊犁）能源开发有限责任公司一矿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DCC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2025.04.08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E2A0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</w:tbl>
    <w:p w14:paraId="19BC0093">
      <w:pPr>
        <w:spacing w:line="240" w:lineRule="auto"/>
        <w:jc w:val="center"/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768E8"/>
    <w:rsid w:val="1E3779D7"/>
    <w:rsid w:val="2B0B4423"/>
    <w:rsid w:val="400E1844"/>
    <w:rsid w:val="52472CB5"/>
    <w:rsid w:val="527F66AB"/>
    <w:rsid w:val="578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894</Words>
  <Characters>1417</Characters>
  <Lines>0</Lines>
  <Paragraphs>0</Paragraphs>
  <TotalTime>1</TotalTime>
  <ScaleCrop>false</ScaleCrop>
  <LinksUpToDate>false</LinksUpToDate>
  <CharactersWithSpaces>1417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2025-04-14T02:36:29Z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eyJoZGlkIjoiMTIxNDc1M2ZjZjJkZjMwNjE2YzEzZTJlNTgzNzJiZDQiLCJ1c2VySWQiOiIyNTAzMjUyNTQifQ==</vt:lpwstr>
  </property>
  <property fmtid="{D5CDD505-2E9C-101B-9397-08002B2CF9AE}" pid="4" name="ICV">
    <vt:lpwstr>358EA69B9C784CFDB3E32F997839D394_13</vt:lpwstr>
  </property>
</Properties>
</file>